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4543"/>
        <w:gridCol w:w="276"/>
      </w:tblGrid>
      <w:tr w:rsidR="002666B3" w:rsidRPr="00AE10CD" w14:paraId="092D5482" w14:textId="31CE13F8" w:rsidTr="002666B3">
        <w:tc>
          <w:tcPr>
            <w:tcW w:w="25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2666B3" w:rsidRPr="00AE10CD" w:rsidRDefault="002666B3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right w:val="nil"/>
            </w:tcBorders>
          </w:tcPr>
          <w:p w14:paraId="49E0E2D8" w14:textId="77777777" w:rsidR="002666B3" w:rsidRPr="00AE10CD" w:rsidRDefault="002666B3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6B3" w:rsidRPr="00AE10CD" w14:paraId="5FFBD864" w14:textId="536B4977" w:rsidTr="002666B3">
        <w:trPr>
          <w:gridAfter w:val="1"/>
          <w:wAfter w:w="143" w:type="pct"/>
          <w:cantSplit/>
          <w:trHeight w:hRule="exact" w:val="340"/>
        </w:trPr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2666B3" w:rsidRPr="00F710FA" w:rsidRDefault="002666B3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nr </w:t>
            </w:r>
            <w:r w:rsidRPr="006D0BAF">
              <w:rPr>
                <w:b/>
                <w:bCs/>
                <w:sz w:val="20"/>
                <w:szCs w:val="20"/>
              </w:rPr>
              <w:t>3</w:t>
            </w:r>
          </w:p>
          <w:p w14:paraId="16585D45" w14:textId="77777777" w:rsidR="002666B3" w:rsidRDefault="002666B3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2666B3" w:rsidRDefault="002666B3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2666B3" w:rsidRDefault="002666B3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2666B3" w:rsidRDefault="002666B3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2666B3" w:rsidRPr="00AE10CD" w:rsidRDefault="002666B3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E41A1" w14:textId="77777777" w:rsidR="002666B3" w:rsidRDefault="002666B3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</w:p>
        </w:tc>
      </w:tr>
    </w:tbl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proofErr w:type="spellStart"/>
      <w:r w:rsidRPr="00457E09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. UE S numer [], data [], strona [], </w:t>
      </w:r>
    </w:p>
    <w:p w14:paraId="37AD92ED" w14:textId="6DC59B02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Numer ogłoszenia w </w:t>
      </w:r>
      <w:proofErr w:type="spellStart"/>
      <w:r w:rsidRPr="00457E09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. </w:t>
      </w:r>
      <w:r w:rsidR="00106693">
        <w:rPr>
          <w:rFonts w:ascii="Arial" w:hAnsi="Arial" w:cs="Arial"/>
          <w:b/>
          <w:sz w:val="20"/>
          <w:szCs w:val="20"/>
          <w:lang w:eastAsia="en-GB"/>
        </w:rPr>
        <w:t>2018/S 049-109107</w:t>
      </w:r>
      <w:bookmarkStart w:id="0" w:name="_GoBack"/>
      <w:bookmarkEnd w:id="0"/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Jeżeli nie opublikowano zaproszenia do ubiegania się o zamówienie w </w:t>
      </w:r>
      <w:proofErr w:type="spellStart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Dz.U</w:t>
      </w:r>
      <w:proofErr w:type="spellEnd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A56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77777777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A012FF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2510BE31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  <w:r w:rsidR="00CF211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]</w:t>
            </w:r>
          </w:p>
          <w:p w14:paraId="23786057" w14:textId="2CFA2E1C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7B9456B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2666B3" w:rsidRPr="002666B3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Wybór instytucji finansującej świadczącej usługę linii gwarancyjnej w wysokości 350 000 000,00</w:t>
            </w:r>
            <w:r w:rsidR="002666B3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 xml:space="preserve"> PLN </w:t>
            </w:r>
            <w:r w:rsidR="002666B3" w:rsidRPr="002666B3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na okres 4 lat.</w:t>
            </w: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7627D452" w:rsidR="002638B2" w:rsidRPr="002638B2" w:rsidRDefault="00E528CB" w:rsidP="002666B3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2666B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1100/AW00/ZG/KZ/2018</w:t>
            </w:r>
            <w:r w:rsidR="00A56C1F" w:rsidRPr="00A56C1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/00000</w:t>
            </w:r>
            <w:r w:rsidR="002666B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20104</w:t>
            </w:r>
            <w:r w:rsidR="002638B2" w:rsidRPr="0079764E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638B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2638B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</w:r>
      <w:r w:rsidRPr="002638B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B239" w14:textId="77777777" w:rsidR="005A4504" w:rsidRDefault="005A4504">
      <w:r>
        <w:separator/>
      </w:r>
    </w:p>
  </w:endnote>
  <w:endnote w:type="continuationSeparator" w:id="0">
    <w:p w14:paraId="72D798CA" w14:textId="77777777" w:rsidR="005A4504" w:rsidRDefault="005A4504">
      <w:r>
        <w:continuationSeparator/>
      </w:r>
    </w:p>
  </w:endnote>
  <w:endnote w:type="continuationNotice" w:id="1">
    <w:p w14:paraId="2283ED3E" w14:textId="77777777" w:rsidR="005A4504" w:rsidRDefault="005A45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2140BC1A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06693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106693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1E5E2" w14:textId="77777777" w:rsidR="005A4504" w:rsidRDefault="005A4504">
      <w:r>
        <w:separator/>
      </w:r>
    </w:p>
  </w:footnote>
  <w:footnote w:type="continuationSeparator" w:id="0">
    <w:p w14:paraId="4CBA5337" w14:textId="77777777" w:rsidR="005A4504" w:rsidRDefault="005A4504">
      <w:r>
        <w:continuationSeparator/>
      </w:r>
    </w:p>
  </w:footnote>
  <w:footnote w:type="continuationNotice" w:id="1">
    <w:p w14:paraId="4BDAC698" w14:textId="77777777" w:rsidR="005A4504" w:rsidRDefault="005A4504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8"/>
      <w:gridCol w:w="3889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2E66B2E8" w:rsidR="00D41618" w:rsidRDefault="008E3D44" w:rsidP="000D3540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ISTOTNYCH WARUNKÓW </w:t>
          </w:r>
          <w:r w:rsidR="000D3540">
            <w:rPr>
              <w:b/>
              <w:bCs/>
              <w:sz w:val="16"/>
              <w:szCs w:val="16"/>
            </w:rPr>
            <w:t>UMOWY RAMOWEJ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3D5A4AD0" w:rsidR="00D41618" w:rsidRPr="00A13550" w:rsidRDefault="002666B3" w:rsidP="002666B3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  <w:highlight w:val="yellow"/>
            </w:rPr>
          </w:pPr>
          <w:r>
            <w:rPr>
              <w:b/>
              <w:bCs/>
              <w:sz w:val="16"/>
              <w:szCs w:val="16"/>
            </w:rPr>
            <w:t>1100/AW00/ZG/KZ/2018</w:t>
          </w:r>
          <w:r w:rsidR="00A56C1F" w:rsidRPr="00A56C1F">
            <w:rPr>
              <w:b/>
              <w:bCs/>
              <w:sz w:val="16"/>
              <w:szCs w:val="16"/>
            </w:rPr>
            <w:t>/00000</w:t>
          </w:r>
          <w:r>
            <w:rPr>
              <w:b/>
              <w:bCs/>
              <w:sz w:val="16"/>
              <w:szCs w:val="16"/>
            </w:rPr>
            <w:t>20104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151E"/>
    <w:rsid w:val="00003683"/>
    <w:rsid w:val="000043FA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659D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3540"/>
    <w:rsid w:val="000D59CB"/>
    <w:rsid w:val="000D738B"/>
    <w:rsid w:val="000E01C0"/>
    <w:rsid w:val="000E286B"/>
    <w:rsid w:val="000E3BAF"/>
    <w:rsid w:val="000E48E6"/>
    <w:rsid w:val="000E71B8"/>
    <w:rsid w:val="000F01DF"/>
    <w:rsid w:val="000F04F6"/>
    <w:rsid w:val="000F44B7"/>
    <w:rsid w:val="001051E6"/>
    <w:rsid w:val="001065F9"/>
    <w:rsid w:val="00106693"/>
    <w:rsid w:val="0010787B"/>
    <w:rsid w:val="00110BE9"/>
    <w:rsid w:val="00111507"/>
    <w:rsid w:val="001122BC"/>
    <w:rsid w:val="0011697E"/>
    <w:rsid w:val="00117D15"/>
    <w:rsid w:val="0012083C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666B3"/>
    <w:rsid w:val="0027140E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CD9"/>
    <w:rsid w:val="002E2B1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651A"/>
    <w:rsid w:val="0043390F"/>
    <w:rsid w:val="004343B7"/>
    <w:rsid w:val="00437F75"/>
    <w:rsid w:val="00441D76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421"/>
    <w:rsid w:val="0053070D"/>
    <w:rsid w:val="0053095E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504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9"/>
    <w:rsid w:val="006C4E4F"/>
    <w:rsid w:val="006C719B"/>
    <w:rsid w:val="006D0BAF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0371E"/>
    <w:rsid w:val="00706D2B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273FF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9764E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4CC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71A12"/>
    <w:rsid w:val="00872B98"/>
    <w:rsid w:val="00872D84"/>
    <w:rsid w:val="008741D4"/>
    <w:rsid w:val="00876058"/>
    <w:rsid w:val="008769CF"/>
    <w:rsid w:val="008818B2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379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42F5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10118"/>
    <w:rsid w:val="00A11948"/>
    <w:rsid w:val="00A13550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C1F"/>
    <w:rsid w:val="00A56D33"/>
    <w:rsid w:val="00A615C5"/>
    <w:rsid w:val="00A6192D"/>
    <w:rsid w:val="00A62041"/>
    <w:rsid w:val="00A64A17"/>
    <w:rsid w:val="00A64AF5"/>
    <w:rsid w:val="00A66D7E"/>
    <w:rsid w:val="00A6762C"/>
    <w:rsid w:val="00A70157"/>
    <w:rsid w:val="00A7046C"/>
    <w:rsid w:val="00A70B17"/>
    <w:rsid w:val="00A71D9F"/>
    <w:rsid w:val="00A72AA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B0C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B67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6D9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113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94BCC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6590"/>
    <w:rsid w:val="00FD05C4"/>
    <w:rsid w:val="00FD1B6D"/>
    <w:rsid w:val="00FD1F0B"/>
    <w:rsid w:val="00FD31B3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CE79-A7BB-4D4F-BC41-1537D600A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5E44C-F412-46E2-9637-D7333C27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4486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Piechocka Aleksandra</cp:lastModifiedBy>
  <cp:revision>7</cp:revision>
  <cp:lastPrinted>2017-08-02T12:11:00Z</cp:lastPrinted>
  <dcterms:created xsi:type="dcterms:W3CDTF">2017-08-03T13:47:00Z</dcterms:created>
  <dcterms:modified xsi:type="dcterms:W3CDTF">2018-03-12T14:17:00Z</dcterms:modified>
</cp:coreProperties>
</file>